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1" w:rsidRPr="00F179F2" w:rsidRDefault="008401D1" w:rsidP="008401D1">
      <w:pPr>
        <w:pStyle w:val="a5"/>
        <w:rPr>
          <w:color w:val="262626"/>
          <w:sz w:val="28"/>
          <w:szCs w:val="28"/>
        </w:rPr>
      </w:pPr>
      <w:r w:rsidRPr="00F179F2">
        <w:rPr>
          <w:color w:val="262626"/>
          <w:sz w:val="28"/>
          <w:szCs w:val="28"/>
        </w:rPr>
        <w:t xml:space="preserve">Если "почти как для больничного" (то есть с нюансами, которые были придуманы в вашей организации) </w:t>
      </w:r>
      <w:r w:rsidRPr="00F179F2">
        <w:rPr>
          <w:color w:val="262626"/>
          <w:sz w:val="28"/>
          <w:szCs w:val="28"/>
        </w:rPr>
        <w:t>–</w:t>
      </w:r>
      <w:r w:rsidRPr="00F179F2">
        <w:rPr>
          <w:color w:val="262626"/>
          <w:sz w:val="28"/>
          <w:szCs w:val="28"/>
        </w:rPr>
        <w:t xml:space="preserve"> </w:t>
      </w:r>
      <w:proofErr w:type="spellStart"/>
      <w:r w:rsidRPr="00F179F2">
        <w:rPr>
          <w:i/>
          <w:color w:val="262626"/>
          <w:sz w:val="28"/>
          <w:szCs w:val="28"/>
        </w:rPr>
        <w:t>Входимость</w:t>
      </w:r>
      <w:proofErr w:type="spellEnd"/>
      <w:r w:rsidRPr="00F179F2">
        <w:rPr>
          <w:i/>
          <w:color w:val="262626"/>
          <w:sz w:val="28"/>
          <w:szCs w:val="28"/>
        </w:rPr>
        <w:t xml:space="preserve"> всех сумм начислений как для расчета обычного среднего</w:t>
      </w:r>
      <w:r w:rsidRPr="00F179F2">
        <w:rPr>
          <w:i/>
          <w:color w:val="262626"/>
          <w:sz w:val="28"/>
          <w:szCs w:val="28"/>
        </w:rPr>
        <w:br/>
      </w:r>
    </w:p>
    <w:p w:rsidR="008401D1" w:rsidRPr="00F179F2" w:rsidRDefault="008401D1" w:rsidP="008401D1">
      <w:pPr>
        <w:pStyle w:val="a5"/>
        <w:rPr>
          <w:i/>
          <w:color w:val="262626"/>
          <w:sz w:val="28"/>
          <w:szCs w:val="28"/>
        </w:rPr>
      </w:pPr>
      <w:r w:rsidRPr="00F179F2">
        <w:rPr>
          <w:color w:val="262626"/>
          <w:sz w:val="28"/>
          <w:szCs w:val="28"/>
        </w:rPr>
        <w:t xml:space="preserve">В </w:t>
      </w:r>
      <w:proofErr w:type="gramStart"/>
      <w:r w:rsidRPr="00F179F2">
        <w:rPr>
          <w:color w:val="262626"/>
          <w:sz w:val="28"/>
          <w:szCs w:val="28"/>
        </w:rPr>
        <w:t>больничном</w:t>
      </w:r>
      <w:proofErr w:type="gramEnd"/>
      <w:r w:rsidRPr="00F179F2">
        <w:rPr>
          <w:color w:val="262626"/>
          <w:sz w:val="28"/>
          <w:szCs w:val="28"/>
        </w:rPr>
        <w:t xml:space="preserve"> берутся два предшествующих календарных года, а не 24 предыдущих месяца. У вас так же?</w:t>
      </w:r>
      <w:r w:rsidRPr="00F179F2">
        <w:rPr>
          <w:color w:val="262626"/>
          <w:sz w:val="28"/>
          <w:szCs w:val="28"/>
        </w:rPr>
        <w:t xml:space="preserve"> – </w:t>
      </w:r>
      <w:r w:rsidRPr="00F179F2">
        <w:rPr>
          <w:i/>
          <w:color w:val="262626"/>
          <w:sz w:val="28"/>
          <w:szCs w:val="28"/>
        </w:rPr>
        <w:t>Да, два предшествующих календарных года.</w:t>
      </w:r>
      <w:r w:rsidRPr="00F179F2">
        <w:rPr>
          <w:color w:val="262626"/>
          <w:sz w:val="28"/>
          <w:szCs w:val="28"/>
        </w:rPr>
        <w:br/>
        <w:t>Для большинства больничных жестко делится на 730 дней, и только для декретных и по уходу до 1.5 лет берутся фактические календарные дни (то есть 731, если один год был високосным) за вычетом некоторых. У вас так же?</w:t>
      </w:r>
      <w:r w:rsidRPr="00F179F2">
        <w:rPr>
          <w:color w:val="262626"/>
          <w:sz w:val="28"/>
          <w:szCs w:val="28"/>
        </w:rPr>
        <w:t xml:space="preserve"> - </w:t>
      </w:r>
      <w:r w:rsidRPr="00F179F2">
        <w:rPr>
          <w:i/>
          <w:color w:val="262626"/>
          <w:sz w:val="28"/>
          <w:szCs w:val="28"/>
        </w:rPr>
        <w:t>Б</w:t>
      </w:r>
      <w:r w:rsidRPr="00F179F2">
        <w:rPr>
          <w:i/>
          <w:color w:val="262626"/>
          <w:sz w:val="28"/>
          <w:szCs w:val="28"/>
        </w:rPr>
        <w:t>ерутся фактические</w:t>
      </w:r>
      <w:r w:rsidR="00F179F2" w:rsidRPr="00F179F2">
        <w:rPr>
          <w:i/>
          <w:color w:val="262626"/>
          <w:sz w:val="28"/>
          <w:szCs w:val="28"/>
        </w:rPr>
        <w:t xml:space="preserve"> </w:t>
      </w:r>
      <w:r w:rsidRPr="00F179F2">
        <w:rPr>
          <w:i/>
          <w:color w:val="262626"/>
          <w:sz w:val="28"/>
          <w:szCs w:val="28"/>
        </w:rPr>
        <w:t xml:space="preserve"> календарные дни</w:t>
      </w:r>
      <w:r w:rsidR="00520320" w:rsidRPr="00F179F2">
        <w:rPr>
          <w:i/>
          <w:color w:val="262626"/>
          <w:sz w:val="28"/>
          <w:szCs w:val="28"/>
        </w:rPr>
        <w:t>.</w:t>
      </w:r>
    </w:p>
    <w:p w:rsidR="008401D1" w:rsidRPr="00F179F2" w:rsidRDefault="00F179F2" w:rsidP="008401D1">
      <w:pPr>
        <w:widowControl w:val="0"/>
        <w:rPr>
          <w:szCs w:val="28"/>
        </w:rPr>
      </w:pPr>
      <w:r>
        <w:rPr>
          <w:szCs w:val="28"/>
        </w:rPr>
        <w:t>Описание .</w:t>
      </w:r>
      <w:bookmarkStart w:id="0" w:name="_GoBack"/>
      <w:bookmarkEnd w:id="0"/>
    </w:p>
    <w:p w:rsidR="008401D1" w:rsidRPr="00F179F2" w:rsidRDefault="008401D1" w:rsidP="008401D1">
      <w:pPr>
        <w:widowControl w:val="0"/>
        <w:rPr>
          <w:szCs w:val="28"/>
        </w:rPr>
      </w:pPr>
      <w:r w:rsidRPr="00F179F2">
        <w:rPr>
          <w:szCs w:val="28"/>
        </w:rPr>
        <w:t>Расчет доплаты до среднего заработка производится по следующему алгоритму:</w:t>
      </w:r>
    </w:p>
    <w:p w:rsidR="008401D1" w:rsidRPr="00F179F2" w:rsidRDefault="008401D1" w:rsidP="008401D1">
      <w:pPr>
        <w:pStyle w:val="a"/>
        <w:numPr>
          <w:ilvl w:val="0"/>
          <w:numId w:val="2"/>
        </w:numPr>
        <w:rPr>
          <w:szCs w:val="28"/>
        </w:rPr>
      </w:pPr>
      <w:r w:rsidRPr="00F179F2">
        <w:rPr>
          <w:szCs w:val="28"/>
        </w:rPr>
        <w:t>Определяется средний дневной заработок работника по формуле:</w:t>
      </w:r>
    </w:p>
    <w:p w:rsidR="008401D1" w:rsidRPr="00F179F2" w:rsidRDefault="008401D1" w:rsidP="008401D1">
      <w:pPr>
        <w:pStyle w:val="a"/>
        <w:ind w:left="1211" w:firstLine="0"/>
        <w:jc w:val="center"/>
        <w:rPr>
          <w:szCs w:val="28"/>
        </w:rPr>
      </w:pPr>
      <w:r w:rsidRPr="00F179F2">
        <w:rPr>
          <w:position w:val="-30"/>
          <w:szCs w:val="28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4.25pt" o:ole="">
            <v:imagedata r:id="rId6" o:title=""/>
          </v:shape>
          <o:OLEObject Type="Embed" ProgID="Equation.3" ShapeID="_x0000_i1025" DrawAspect="Content" ObjectID="_1605442029" r:id="rId7"/>
        </w:object>
      </w:r>
      <w:r w:rsidRPr="00F179F2">
        <w:rPr>
          <w:szCs w:val="28"/>
        </w:rPr>
        <w:t>, где: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2"/>
          <w:szCs w:val="28"/>
        </w:rPr>
        <w:object w:dxaOrig="480" w:dyaOrig="360">
          <v:shape id="_x0000_i1026" type="#_x0000_t75" style="width:24pt;height:18pt" o:ole="">
            <v:imagedata r:id="rId8" o:title=""/>
          </v:shape>
          <o:OLEObject Type="Embed" ProgID="Equation.3" ShapeID="_x0000_i1026" DrawAspect="Content" ObjectID="_1605442030" r:id="rId9"/>
        </w:object>
      </w:r>
      <w:r w:rsidRPr="00F179F2">
        <w:rPr>
          <w:szCs w:val="28"/>
        </w:rPr>
        <w:t xml:space="preserve"> - среднедневной заработок, руб.;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2"/>
          <w:szCs w:val="28"/>
        </w:rPr>
        <w:object w:dxaOrig="340" w:dyaOrig="360">
          <v:shape id="_x0000_i1027" type="#_x0000_t75" style="width:17.25pt;height:18pt" o:ole="">
            <v:imagedata r:id="rId10" o:title=""/>
          </v:shape>
          <o:OLEObject Type="Embed" ProgID="Equation.3" ShapeID="_x0000_i1027" DrawAspect="Content" ObjectID="_1605442031" r:id="rId11"/>
        </w:object>
      </w:r>
      <w:r w:rsidRPr="00F179F2">
        <w:rPr>
          <w:szCs w:val="28"/>
        </w:rPr>
        <w:t xml:space="preserve"> – фактически начисленная заработная плата за расчетный период, </w:t>
      </w:r>
      <w:proofErr w:type="spellStart"/>
      <w:r w:rsidRPr="00F179F2">
        <w:rPr>
          <w:szCs w:val="28"/>
        </w:rPr>
        <w:t>руб</w:t>
      </w:r>
      <w:proofErr w:type="spellEnd"/>
      <w:r w:rsidRPr="00F179F2">
        <w:rPr>
          <w:szCs w:val="28"/>
        </w:rPr>
        <w:t xml:space="preserve">; </w:t>
      </w:r>
      <w:proofErr w:type="spellStart"/>
      <w:r w:rsidRPr="00F179F2">
        <w:rPr>
          <w:szCs w:val="28"/>
        </w:rPr>
        <w:t>Входимость</w:t>
      </w:r>
      <w:proofErr w:type="spellEnd"/>
      <w:r w:rsidRPr="00F179F2">
        <w:rPr>
          <w:szCs w:val="28"/>
        </w:rPr>
        <w:t xml:space="preserve"> видов оплаты в расчет среднего заработка </w:t>
      </w:r>
    </w:p>
    <w:p w:rsidR="008401D1" w:rsidRPr="00F179F2" w:rsidRDefault="008401D1" w:rsidP="008401D1">
      <w:pPr>
        <w:rPr>
          <w:i/>
          <w:szCs w:val="28"/>
        </w:rPr>
      </w:pPr>
      <w:r w:rsidRPr="00F179F2">
        <w:rPr>
          <w:position w:val="-14"/>
          <w:szCs w:val="28"/>
        </w:rPr>
        <w:object w:dxaOrig="400" w:dyaOrig="380">
          <v:shape id="_x0000_i1028" type="#_x0000_t75" style="width:19.5pt;height:19.5pt" o:ole="">
            <v:imagedata r:id="rId12" o:title=""/>
          </v:shape>
          <o:OLEObject Type="Embed" ProgID="Equation.3" ShapeID="_x0000_i1028" DrawAspect="Content" ObjectID="_1605442032" r:id="rId13"/>
        </w:object>
      </w:r>
      <w:r w:rsidRPr="00F179F2">
        <w:rPr>
          <w:szCs w:val="28"/>
        </w:rPr>
        <w:t xml:space="preserve"> – сумма вознаграждения по итогам работы за год</w:t>
      </w:r>
      <w:proofErr w:type="gramStart"/>
      <w:r w:rsidRPr="00F179F2">
        <w:rPr>
          <w:szCs w:val="28"/>
        </w:rPr>
        <w:t xml:space="preserve"> ,</w:t>
      </w:r>
      <w:proofErr w:type="gramEnd"/>
      <w:r w:rsidRPr="00F179F2">
        <w:rPr>
          <w:szCs w:val="28"/>
        </w:rPr>
        <w:t>приведенная к отработанному времени;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4"/>
          <w:szCs w:val="28"/>
        </w:rPr>
        <w:object w:dxaOrig="380" w:dyaOrig="380">
          <v:shape id="_x0000_i1029" type="#_x0000_t75" style="width:19.5pt;height:19.5pt" o:ole="">
            <v:imagedata r:id="rId14" o:title=""/>
          </v:shape>
          <o:OLEObject Type="Embed" ProgID="Equation.3" ShapeID="_x0000_i1029" DrawAspect="Content" ObjectID="_1605442033" r:id="rId15"/>
        </w:object>
      </w:r>
      <w:r w:rsidRPr="00F179F2">
        <w:rPr>
          <w:szCs w:val="28"/>
        </w:rPr>
        <w:t xml:space="preserve"> – сумма начисленных единовременных премий, приведенных к отработанному времени. 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2"/>
          <w:szCs w:val="28"/>
        </w:rPr>
        <w:object w:dxaOrig="340" w:dyaOrig="360">
          <v:shape id="_x0000_i1030" type="#_x0000_t75" style="width:17.25pt;height:18pt" o:ole="">
            <v:imagedata r:id="rId16" o:title=""/>
          </v:shape>
          <o:OLEObject Type="Embed" ProgID="Equation.3" ShapeID="_x0000_i1030" DrawAspect="Content" ObjectID="_1605442034" r:id="rId17"/>
        </w:object>
      </w:r>
      <w:r w:rsidRPr="00F179F2">
        <w:rPr>
          <w:szCs w:val="28"/>
        </w:rPr>
        <w:t xml:space="preserve"> - количество фактически отработанных календарных дней в расчетном периоде. Расчетным периодом являются два календарных года, учитываемые в расчете пособия по временной нетрудоспособности за счет средств ФСС.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szCs w:val="28"/>
        </w:rPr>
        <w:t>Приведение к отработанному времени начисленных за расчетный период сумм вознаграждения по итогам работы за год и единовременных премий производится по формуле</w:t>
      </w:r>
      <w:proofErr w:type="gramStart"/>
      <w:r w:rsidRPr="00F179F2">
        <w:rPr>
          <w:szCs w:val="28"/>
        </w:rPr>
        <w:t>:</w:t>
      </w:r>
      <w:proofErr w:type="gramEnd"/>
    </w:p>
    <w:p w:rsidR="008401D1" w:rsidRPr="00F179F2" w:rsidRDefault="008401D1" w:rsidP="008401D1">
      <w:pPr>
        <w:jc w:val="center"/>
        <w:rPr>
          <w:szCs w:val="28"/>
        </w:rPr>
      </w:pPr>
      <w:r w:rsidRPr="00F179F2">
        <w:rPr>
          <w:b/>
          <w:position w:val="-32"/>
          <w:szCs w:val="28"/>
        </w:rPr>
        <w:object w:dxaOrig="3260" w:dyaOrig="740">
          <v:shape id="_x0000_i1031" type="#_x0000_t75" style="width:198.75pt;height:46.5pt" o:ole="">
            <v:imagedata r:id="rId18" o:title=""/>
          </v:shape>
          <o:OLEObject Type="Embed" ProgID="Equation.3" ShapeID="_x0000_i1031" DrawAspect="Content" ObjectID="_1605442035" r:id="rId19"/>
        </w:object>
      </w:r>
      <w:r w:rsidRPr="00F179F2">
        <w:rPr>
          <w:szCs w:val="28"/>
        </w:rPr>
        <w:t>, где: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0"/>
          <w:szCs w:val="28"/>
        </w:rPr>
        <w:object w:dxaOrig="1520" w:dyaOrig="320">
          <v:shape id="_x0000_i1032" type="#_x0000_t75" style="width:77.25pt;height:15pt" o:ole="">
            <v:imagedata r:id="rId20" o:title=""/>
          </v:shape>
          <o:OLEObject Type="Embed" ProgID="Equation.3" ShapeID="_x0000_i1032" DrawAspect="Content" ObjectID="_1605442036" r:id="rId21"/>
        </w:object>
      </w:r>
      <w:r w:rsidRPr="00F179F2">
        <w:rPr>
          <w:szCs w:val="28"/>
        </w:rPr>
        <w:t xml:space="preserve"> - приведенная к отработанному времени сумма начисленного вознаграждения по итогам работы за год или единовременных премий, руб.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4"/>
          <w:szCs w:val="28"/>
        </w:rPr>
        <w:object w:dxaOrig="920" w:dyaOrig="380">
          <v:shape id="_x0000_i1033" type="#_x0000_t75" style="width:46.5pt;height:19.5pt" o:ole="">
            <v:imagedata r:id="rId22" o:title=""/>
          </v:shape>
          <o:OLEObject Type="Embed" ProgID="Equation.3" ShapeID="_x0000_i1033" DrawAspect="Content" ObjectID="_1605442037" r:id="rId23"/>
        </w:object>
      </w:r>
      <w:r w:rsidRPr="00F179F2">
        <w:rPr>
          <w:szCs w:val="28"/>
        </w:rPr>
        <w:t xml:space="preserve"> - сумма начисленного вознаграждения по итогам работы за год, единовременных премий за расчетный период, руб.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4"/>
          <w:szCs w:val="28"/>
        </w:rPr>
        <w:object w:dxaOrig="540" w:dyaOrig="380">
          <v:shape id="_x0000_i1034" type="#_x0000_t75" style="width:27.75pt;height:19.5pt" o:ole="">
            <v:imagedata r:id="rId24" o:title=""/>
          </v:shape>
          <o:OLEObject Type="Embed" ProgID="Equation.3" ShapeID="_x0000_i1034" DrawAspect="Content" ObjectID="_1605442038" r:id="rId25"/>
        </w:object>
      </w:r>
      <w:r w:rsidRPr="00F179F2">
        <w:rPr>
          <w:szCs w:val="28"/>
        </w:rPr>
        <w:t xml:space="preserve"> - количество календарных дней за расчетный период;</w:t>
      </w:r>
    </w:p>
    <w:p w:rsidR="008401D1" w:rsidRPr="00F179F2" w:rsidRDefault="008401D1" w:rsidP="008401D1">
      <w:pPr>
        <w:rPr>
          <w:szCs w:val="28"/>
        </w:rPr>
      </w:pPr>
      <w:r w:rsidRPr="00F179F2">
        <w:rPr>
          <w:position w:val="-14"/>
          <w:szCs w:val="28"/>
        </w:rPr>
        <w:object w:dxaOrig="540" w:dyaOrig="380">
          <v:shape id="_x0000_i1035" type="#_x0000_t75" style="width:28.5pt;height:19.5pt" o:ole="">
            <v:imagedata r:id="rId26" o:title=""/>
          </v:shape>
          <o:OLEObject Type="Embed" ProgID="Equation.3" ShapeID="_x0000_i1035" DrawAspect="Content" ObjectID="_1605442039" r:id="rId27"/>
        </w:object>
      </w:r>
      <w:r w:rsidRPr="00F179F2">
        <w:rPr>
          <w:szCs w:val="28"/>
        </w:rPr>
        <w:t xml:space="preserve"> - количество фактически отработанных</w:t>
      </w:r>
      <w:r w:rsidRPr="00F179F2">
        <w:rPr>
          <w:szCs w:val="28"/>
        </w:rPr>
        <w:t xml:space="preserve"> календарных</w:t>
      </w:r>
      <w:r w:rsidRPr="00F179F2">
        <w:rPr>
          <w:szCs w:val="28"/>
        </w:rPr>
        <w:t xml:space="preserve"> дней </w:t>
      </w:r>
      <w:r w:rsidR="00520320" w:rsidRPr="00F179F2">
        <w:rPr>
          <w:szCs w:val="28"/>
        </w:rPr>
        <w:t>за расчетный период;</w:t>
      </w:r>
    </w:p>
    <w:p w:rsidR="0008023A" w:rsidRPr="00F179F2" w:rsidRDefault="008401D1" w:rsidP="008401D1">
      <w:pPr>
        <w:rPr>
          <w:szCs w:val="28"/>
        </w:rPr>
      </w:pPr>
      <w:r w:rsidRPr="00F179F2">
        <w:rPr>
          <w:szCs w:val="28"/>
        </w:rPr>
        <w:t>При повышении в организации тарифных ставок, должностных окладов (индексации) средний заработок работников подлежит увеличению.</w:t>
      </w:r>
    </w:p>
    <w:p w:rsidR="008401D1" w:rsidRPr="00F179F2" w:rsidRDefault="008401D1" w:rsidP="008401D1">
      <w:pPr>
        <w:rPr>
          <w:szCs w:val="28"/>
        </w:rPr>
      </w:pPr>
    </w:p>
    <w:p w:rsidR="00520320" w:rsidRPr="00F179F2" w:rsidRDefault="008401D1" w:rsidP="00520320">
      <w:pPr>
        <w:rPr>
          <w:szCs w:val="28"/>
        </w:rPr>
      </w:pPr>
      <w:r w:rsidRPr="00F179F2">
        <w:rPr>
          <w:szCs w:val="28"/>
        </w:rPr>
        <w:t xml:space="preserve">Где </w:t>
      </w:r>
      <w:r w:rsidR="00520320" w:rsidRPr="00F179F2">
        <w:rPr>
          <w:szCs w:val="28"/>
          <w:lang w:val="en-US"/>
        </w:rPr>
        <w:t xml:space="preserve"> </w:t>
      </w:r>
      <w:r w:rsidRPr="00F179F2">
        <w:rPr>
          <w:position w:val="-12"/>
          <w:szCs w:val="28"/>
        </w:rPr>
        <w:object w:dxaOrig="340" w:dyaOrig="360">
          <v:shape id="_x0000_i1036" type="#_x0000_t75" style="width:17.25pt;height:18pt" o:ole="">
            <v:imagedata r:id="rId16" o:title=""/>
          </v:shape>
          <o:OLEObject Type="Embed" ProgID="Equation.3" ShapeID="_x0000_i1036" DrawAspect="Content" ObjectID="_1605442040" r:id="rId28"/>
        </w:object>
      </w:r>
      <w:r w:rsidR="00520320" w:rsidRPr="00F179F2">
        <w:rPr>
          <w:szCs w:val="28"/>
        </w:rPr>
        <w:t xml:space="preserve"> = </w:t>
      </w:r>
      <w:r w:rsidR="00520320" w:rsidRPr="00F179F2">
        <w:rPr>
          <w:position w:val="-14"/>
          <w:szCs w:val="28"/>
        </w:rPr>
        <w:object w:dxaOrig="540" w:dyaOrig="380">
          <v:shape id="_x0000_i1037" type="#_x0000_t75" style="width:27.75pt;height:19.5pt" o:ole="">
            <v:imagedata r:id="rId24" o:title=""/>
          </v:shape>
          <o:OLEObject Type="Embed" ProgID="Equation.3" ShapeID="_x0000_i1037" DrawAspect="Content" ObjectID="_1605442041" r:id="rId29"/>
        </w:object>
      </w:r>
      <w:r w:rsidRPr="00F179F2">
        <w:rPr>
          <w:szCs w:val="28"/>
        </w:rPr>
        <w:t xml:space="preserve"> </w:t>
      </w:r>
      <w:r w:rsidR="00520320" w:rsidRPr="00F179F2">
        <w:rPr>
          <w:szCs w:val="28"/>
        </w:rPr>
        <w:t>-</w:t>
      </w:r>
      <w:r w:rsidRPr="00F179F2">
        <w:rPr>
          <w:szCs w:val="28"/>
        </w:rPr>
        <w:t xml:space="preserve"> </w:t>
      </w:r>
      <w:r w:rsidR="00520320" w:rsidRPr="00F179F2">
        <w:rPr>
          <w:szCs w:val="28"/>
          <w:lang w:val="en-US"/>
        </w:rPr>
        <w:t>Y</w:t>
      </w:r>
      <w:r w:rsidR="00520320" w:rsidRPr="00F179F2">
        <w:rPr>
          <w:szCs w:val="28"/>
        </w:rPr>
        <w:t xml:space="preserve"> </w:t>
      </w:r>
      <w:r w:rsidR="00520320" w:rsidRPr="00F179F2">
        <w:rPr>
          <w:szCs w:val="28"/>
          <w:lang w:val="en-US"/>
        </w:rPr>
        <w:t>,</w:t>
      </w:r>
      <w:r w:rsidR="00520320" w:rsidRPr="00F179F2">
        <w:rPr>
          <w:szCs w:val="28"/>
        </w:rPr>
        <w:t xml:space="preserve">    </w:t>
      </w:r>
      <w:r w:rsidR="00520320" w:rsidRPr="00F179F2">
        <w:rPr>
          <w:position w:val="-14"/>
          <w:szCs w:val="28"/>
        </w:rPr>
        <w:object w:dxaOrig="540" w:dyaOrig="380">
          <v:shape id="_x0000_i1039" type="#_x0000_t75" style="width:28.5pt;height:19.5pt" o:ole="">
            <v:imagedata r:id="rId26" o:title=""/>
          </v:shape>
          <o:OLEObject Type="Embed" ProgID="Equation.3" ShapeID="_x0000_i1039" DrawAspect="Content" ObjectID="_1605442042" r:id="rId30"/>
        </w:object>
      </w:r>
      <w:r w:rsidR="00520320" w:rsidRPr="00F179F2">
        <w:rPr>
          <w:szCs w:val="28"/>
        </w:rPr>
        <w:t xml:space="preserve"> = </w:t>
      </w:r>
      <w:r w:rsidR="00520320" w:rsidRPr="00F179F2">
        <w:rPr>
          <w:position w:val="-14"/>
          <w:szCs w:val="28"/>
        </w:rPr>
        <w:object w:dxaOrig="540" w:dyaOrig="380">
          <v:shape id="_x0000_i1038" type="#_x0000_t75" style="width:27.75pt;height:19.5pt" o:ole="">
            <v:imagedata r:id="rId24" o:title=""/>
          </v:shape>
          <o:OLEObject Type="Embed" ProgID="Equation.3" ShapeID="_x0000_i1038" DrawAspect="Content" ObjectID="_1605442043" r:id="rId31"/>
        </w:object>
      </w:r>
      <w:r w:rsidR="00520320" w:rsidRPr="00F179F2">
        <w:rPr>
          <w:szCs w:val="28"/>
        </w:rPr>
        <w:t xml:space="preserve"> - </w:t>
      </w:r>
      <w:r w:rsidR="00520320" w:rsidRPr="00F179F2">
        <w:rPr>
          <w:szCs w:val="28"/>
          <w:lang w:val="en-US"/>
        </w:rPr>
        <w:t>Y</w:t>
      </w:r>
    </w:p>
    <w:p w:rsidR="00520320" w:rsidRPr="00F179F2" w:rsidRDefault="00520320" w:rsidP="00520320">
      <w:pPr>
        <w:rPr>
          <w:rFonts w:eastAsia="Times New Roman"/>
          <w:color w:val="000000"/>
          <w:szCs w:val="28"/>
          <w:lang w:val="en-US" w:eastAsia="ru-RU"/>
        </w:rPr>
      </w:pPr>
      <w:r w:rsidRPr="00F179F2">
        <w:rPr>
          <w:szCs w:val="28"/>
          <w:lang w:val="en-US"/>
        </w:rPr>
        <w:t>Y</w:t>
      </w:r>
      <w:r w:rsidRPr="00F179F2">
        <w:rPr>
          <w:szCs w:val="28"/>
        </w:rPr>
        <w:t>-</w:t>
      </w:r>
      <w:r w:rsidR="008401D1" w:rsidRPr="00F179F2">
        <w:rPr>
          <w:szCs w:val="28"/>
        </w:rPr>
        <w:t xml:space="preserve"> </w:t>
      </w:r>
      <w:r w:rsidRPr="00F179F2">
        <w:rPr>
          <w:rFonts w:eastAsia="Times New Roman"/>
          <w:color w:val="000000"/>
          <w:szCs w:val="28"/>
          <w:lang w:eastAsia="ru-RU"/>
        </w:rPr>
        <w:t xml:space="preserve">Календарные дни в месяце, попадающие на периоды, которые должны быть исключены из отработанных календарных дней для доплаты до среднего для расчета больничных (календарные дни месяца, приходящиеся на отсутствия). Входят следующие виды отсутствий: 0101 Отпуск ежегодный, 0103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\ЧАЭС, 0104 Учебный отпуск\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Оплач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., 0105,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.В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>ых.донору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0106 Дни ухода \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Реб.инвалид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0107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\Сан.-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кур.леч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., 0108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\Смерть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род.супруга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0109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\Смерть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родств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., 0110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СмертьРодВыезд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0113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Доп.выходной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\Поиск работы, 0114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Отпуск_обустр_новое.место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0116 Учебный отпуск\Оплач.50%, 0117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Отпуск_БезСохрЗП_Закон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0118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Отпуск_БезСохрЗП_Договор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, 0119 Учебный отпуск\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Неопл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., 0121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ОтсутствиеВозмПереводаБер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0123 Отгул/раб. в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вых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пр.неопл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0124 Отгул/раб. в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вых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пр.опл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0125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\ВГСО, 0126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Атт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.С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>пасатели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0127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\Членам ДПД, 0128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\Актив уч. общ., 0129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женщ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.&gt;=3Дет, 0130 Отгул/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сверхур.раб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неопл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, 0131 Отгул/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сверхур.раб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опл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0140 Военные сборы, 0150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.о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>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\День знаний, 0151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Доп.отпуск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\День знаний ОК, 0152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.\Рождение ребенка, 0153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.о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>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\Рождение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ребен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 ОК, 0154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lastRenderedPageBreak/>
        <w:t>Доп.отп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Рег.брака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0155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Рег.брака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 ОК, 0156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Рег.брака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 дет., 0157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Рег.брака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 дет. 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ОК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 xml:space="preserve">, 0158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\Провод в армию, 0159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Доп.отп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\Провод в армию ОК, 0201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.\Общее заболевание, 0202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.\Профзаболевание, 0203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Производ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травма, 0204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.\санаторий, 0206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.\инвалид, 0207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.\быт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т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 xml:space="preserve">равма, 0208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Реб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.&lt;7\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амбул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0209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Реб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.&lt;7\стационар, 0210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.\Реб.7-15\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амбул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0211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.\Реб.7-15\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стацион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., 0212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.\МРОТ, 0213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СложнСлуч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.б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>ез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лим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0214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.\член семьи, 0215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Реб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proofErr w:type="gramStart"/>
      <w:r w:rsidRPr="00F179F2">
        <w:rPr>
          <w:rFonts w:eastAsia="Times New Roman"/>
          <w:color w:val="000000"/>
          <w:szCs w:val="28"/>
          <w:lang w:eastAsia="ru-RU"/>
        </w:rPr>
        <w:t>Инв</w:t>
      </w:r>
      <w:proofErr w:type="spellEnd"/>
      <w:proofErr w:type="gramEnd"/>
      <w:r w:rsidRPr="00F179F2">
        <w:rPr>
          <w:rFonts w:eastAsia="Times New Roman"/>
          <w:color w:val="000000"/>
          <w:szCs w:val="28"/>
          <w:lang w:eastAsia="ru-RU"/>
        </w:rPr>
        <w:t>=&lt; 15 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ам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0216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Реб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proofErr w:type="gramStart"/>
      <w:r w:rsidRPr="00F179F2">
        <w:rPr>
          <w:rFonts w:eastAsia="Times New Roman"/>
          <w:color w:val="000000"/>
          <w:szCs w:val="28"/>
          <w:lang w:eastAsia="ru-RU"/>
        </w:rPr>
        <w:t>Инв</w:t>
      </w:r>
      <w:proofErr w:type="spellEnd"/>
      <w:proofErr w:type="gramEnd"/>
      <w:r w:rsidRPr="00F179F2">
        <w:rPr>
          <w:rFonts w:eastAsia="Times New Roman"/>
          <w:color w:val="000000"/>
          <w:szCs w:val="28"/>
          <w:lang w:eastAsia="ru-RU"/>
        </w:rPr>
        <w:t>=&lt; 15 \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ст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0217 Отпуск по берем. и родам, 0219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.\После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увольн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0220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Нетруд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неподтвержденная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 xml:space="preserve">, 0301 Исполнение ГО, 0304 Медицинский осмотр, 0305 Перерывы на кормление, 0306 Простой по вине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работодат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0307 Простой по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независм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прич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0400 Отстранение от работ _СЗ, 0401 Отстранение от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раб._Тариф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, 0403 Неявка/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невыясн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.п</w:t>
      </w:r>
      <w:proofErr w:type="gramEnd"/>
      <w:r w:rsidRPr="00F179F2">
        <w:rPr>
          <w:rFonts w:eastAsia="Times New Roman"/>
          <w:color w:val="000000"/>
          <w:szCs w:val="28"/>
          <w:lang w:eastAsia="ru-RU"/>
        </w:rPr>
        <w:t>ричина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, 0404 Прогул, 0406 Простой по вине работника, 0407 Отстранение от работы, 0408 Отстранение от раб (час), 0450 Самодеятельность, 0451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Самодеятел-ть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(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гор.бюджет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), 0500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по уходу до 1,5 (1), 0501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по уходу до 3 лет, 0502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по уходу до 1,5 (2), 0503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Отп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 по уходу до 1,5 (3), 0601 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Повыш.квал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>.\</w:t>
      </w:r>
      <w:proofErr w:type="gramStart"/>
      <w:r w:rsidRPr="00F179F2">
        <w:rPr>
          <w:rFonts w:eastAsia="Times New Roman"/>
          <w:color w:val="000000"/>
          <w:szCs w:val="28"/>
          <w:lang w:eastAsia="ru-RU"/>
        </w:rPr>
        <w:t>Местное, 0620 Командировка (произв.), 0621 Командировка (</w:t>
      </w:r>
      <w:proofErr w:type="spellStart"/>
      <w:r w:rsidRPr="00F179F2">
        <w:rPr>
          <w:rFonts w:eastAsia="Times New Roman"/>
          <w:color w:val="000000"/>
          <w:szCs w:val="28"/>
          <w:lang w:eastAsia="ru-RU"/>
        </w:rPr>
        <w:t>непроизв</w:t>
      </w:r>
      <w:proofErr w:type="spellEnd"/>
      <w:r w:rsidRPr="00F179F2">
        <w:rPr>
          <w:rFonts w:eastAsia="Times New Roman"/>
          <w:color w:val="000000"/>
          <w:szCs w:val="28"/>
          <w:lang w:eastAsia="ru-RU"/>
        </w:rPr>
        <w:t xml:space="preserve">.), 0622 Командировка (обучение), 0623 Командировка (по окладу), 0624 Командировка (профсоюз)  </w:t>
      </w:r>
      <w:proofErr w:type="gramEnd"/>
    </w:p>
    <w:p w:rsidR="00520320" w:rsidRPr="00F179F2" w:rsidRDefault="00520320" w:rsidP="00520320">
      <w:pPr>
        <w:ind w:firstLine="0"/>
        <w:rPr>
          <w:rFonts w:eastAsia="Times New Roman"/>
          <w:color w:val="000000"/>
          <w:szCs w:val="28"/>
          <w:lang w:eastAsia="ru-RU"/>
        </w:rPr>
      </w:pPr>
      <w:r w:rsidRPr="00F179F2">
        <w:rPr>
          <w:rFonts w:eastAsia="Times New Roman"/>
          <w:color w:val="000000"/>
          <w:szCs w:val="28"/>
          <w:lang w:eastAsia="ru-RU"/>
        </w:rPr>
        <w:br/>
      </w:r>
    </w:p>
    <w:p w:rsidR="008401D1" w:rsidRPr="00F179F2" w:rsidRDefault="008401D1" w:rsidP="008401D1">
      <w:pPr>
        <w:rPr>
          <w:szCs w:val="28"/>
        </w:rPr>
      </w:pPr>
    </w:p>
    <w:sectPr w:rsidR="008401D1" w:rsidRPr="00F1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5B"/>
    <w:multiLevelType w:val="hybridMultilevel"/>
    <w:tmpl w:val="570A9670"/>
    <w:lvl w:ilvl="0" w:tplc="22CC79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3A251C"/>
    <w:multiLevelType w:val="hybridMultilevel"/>
    <w:tmpl w:val="DC2AC64C"/>
    <w:lvl w:ilvl="0" w:tplc="FE72E08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E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6E1C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486A5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A3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0F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06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D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87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D1"/>
    <w:rsid w:val="0008023A"/>
    <w:rsid w:val="00520320"/>
    <w:rsid w:val="008401D1"/>
    <w:rsid w:val="00F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1D1"/>
    <w:pPr>
      <w:spacing w:before="120" w:after="120" w:line="312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99"/>
    <w:qFormat/>
    <w:rsid w:val="008401D1"/>
    <w:pPr>
      <w:numPr>
        <w:numId w:val="1"/>
      </w:numPr>
      <w:contextualSpacing/>
    </w:pPr>
  </w:style>
  <w:style w:type="character" w:customStyle="1" w:styleId="a4">
    <w:name w:val="Абзац списка Знак"/>
    <w:basedOn w:val="a1"/>
    <w:link w:val="a"/>
    <w:uiPriority w:val="99"/>
    <w:rsid w:val="008401D1"/>
    <w:rPr>
      <w:rFonts w:ascii="Times New Roman" w:hAnsi="Times New Roman" w:cs="Times New Roman"/>
      <w:sz w:val="28"/>
      <w:szCs w:val="24"/>
    </w:rPr>
  </w:style>
  <w:style w:type="paragraph" w:styleId="a5">
    <w:name w:val="Normal (Web)"/>
    <w:basedOn w:val="a0"/>
    <w:uiPriority w:val="99"/>
    <w:semiHidden/>
    <w:unhideWhenUsed/>
    <w:rsid w:val="008401D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1D1"/>
    <w:pPr>
      <w:spacing w:before="120" w:after="120" w:line="312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99"/>
    <w:qFormat/>
    <w:rsid w:val="008401D1"/>
    <w:pPr>
      <w:numPr>
        <w:numId w:val="1"/>
      </w:numPr>
      <w:contextualSpacing/>
    </w:pPr>
  </w:style>
  <w:style w:type="character" w:customStyle="1" w:styleId="a4">
    <w:name w:val="Абзац списка Знак"/>
    <w:basedOn w:val="a1"/>
    <w:link w:val="a"/>
    <w:uiPriority w:val="99"/>
    <w:rsid w:val="008401D1"/>
    <w:rPr>
      <w:rFonts w:ascii="Times New Roman" w:hAnsi="Times New Roman" w:cs="Times New Roman"/>
      <w:sz w:val="28"/>
      <w:szCs w:val="24"/>
    </w:rPr>
  </w:style>
  <w:style w:type="paragraph" w:styleId="a5">
    <w:name w:val="Normal (Web)"/>
    <w:basedOn w:val="a0"/>
    <w:uiPriority w:val="99"/>
    <w:semiHidden/>
    <w:unhideWhenUsed/>
    <w:rsid w:val="008401D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none" w:sz="0" w:space="0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  <w:divsChild>
                                <w:div w:id="3013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Трансгаз Екатеринбург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Екатерина Владимировна</dc:creator>
  <cp:lastModifiedBy>Михеева Екатерина Владимировна</cp:lastModifiedBy>
  <cp:revision>1</cp:revision>
  <dcterms:created xsi:type="dcterms:W3CDTF">2018-12-04T09:46:00Z</dcterms:created>
  <dcterms:modified xsi:type="dcterms:W3CDTF">2018-12-04T10:16:00Z</dcterms:modified>
</cp:coreProperties>
</file>